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10BE7DD"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313BA4">
        <w:rPr>
          <w:rFonts w:ascii="Times New Roman" w:eastAsia="MS Mincho" w:hAnsi="Times New Roman"/>
          <w:b/>
          <w:sz w:val="28"/>
          <w:szCs w:val="28"/>
        </w:rPr>
        <w:t>448</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40CAB35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B4E26CF" w14:textId="77777777">
      <w:pPr>
        <w:pStyle w:val="PlainText"/>
        <w:jc w:val="both"/>
        <w:rPr>
          <w:rFonts w:ascii="Times New Roman" w:eastAsia="MS Mincho" w:hAnsi="Times New Roman"/>
          <w:sz w:val="28"/>
          <w:szCs w:val="28"/>
        </w:rPr>
      </w:pPr>
    </w:p>
    <w:p w:rsidR="00FB51C4" w:rsidP="00EF0D5C" w14:paraId="4033A63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187C9613" w14:textId="269FC834">
      <w:pPr>
        <w:ind w:firstLine="708"/>
        <w:jc w:val="both"/>
        <w:rPr>
          <w:rFonts w:eastAsia="MS Mincho"/>
          <w:sz w:val="28"/>
          <w:szCs w:val="28"/>
        </w:rPr>
      </w:pPr>
      <w:r>
        <w:rPr>
          <w:rFonts w:eastAsia="MS Mincho" w:cs="Courier New"/>
          <w:sz w:val="28"/>
          <w:szCs w:val="28"/>
        </w:rPr>
        <w:t xml:space="preserve">Артемьевой Эльвиры Рафаэловны, </w:t>
      </w:r>
      <w:r w:rsidR="00702B19">
        <w:rPr>
          <w:rFonts w:eastAsia="MS Mincho" w:cs="Courier New"/>
          <w:sz w:val="28"/>
          <w:szCs w:val="28"/>
        </w:rPr>
        <w:t>---</w:t>
      </w:r>
      <w:r w:rsidRPr="00F969C6" w:rsidR="00247CD7">
        <w:rPr>
          <w:rFonts w:eastAsia="MS Mincho"/>
          <w:sz w:val="28"/>
          <w:szCs w:val="28"/>
        </w:rPr>
        <w:t xml:space="preserve">, </w:t>
      </w:r>
    </w:p>
    <w:p w:rsidR="00171CC4" w:rsidRPr="004223EA" w:rsidP="004B58B6" w14:paraId="7E9627A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17CEA58" w14:textId="77777777">
      <w:pPr>
        <w:jc w:val="center"/>
        <w:rPr>
          <w:rFonts w:eastAsia="MS Mincho"/>
          <w:sz w:val="28"/>
          <w:szCs w:val="28"/>
        </w:rPr>
      </w:pPr>
      <w:r w:rsidRPr="004223EA">
        <w:rPr>
          <w:rFonts w:eastAsia="MS Mincho"/>
          <w:sz w:val="28"/>
          <w:szCs w:val="28"/>
        </w:rPr>
        <w:t>УСТАНОВИЛ:</w:t>
      </w:r>
    </w:p>
    <w:p w:rsidR="004B58B6" w:rsidRPr="004223EA" w:rsidP="004B58B6" w14:paraId="10370B5D" w14:textId="77777777">
      <w:pPr>
        <w:jc w:val="both"/>
        <w:rPr>
          <w:rFonts w:eastAsia="MS Mincho"/>
          <w:sz w:val="28"/>
          <w:szCs w:val="28"/>
        </w:rPr>
      </w:pPr>
    </w:p>
    <w:p w:rsidR="004B58B6" w:rsidRPr="004223EA" w:rsidP="004B58B6" w14:paraId="2ABB96A6" w14:textId="5FAA03D8">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0D647F">
        <w:rPr>
          <w:rFonts w:eastAsia="MS Mincho"/>
          <w:sz w:val="28"/>
          <w:szCs w:val="28"/>
        </w:rPr>
        <w:t xml:space="preserve">04049591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702B1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798F2A0E"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44D4D6E"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24A02FA2"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305015F2"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B66B252"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7DD39940"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39AB258F"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75CCBBC8"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4A4CE9E2"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3B55141"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5DFAEF65"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7EBEEC26"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7D7674AC"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4466E8E3"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3B0136CA" w14:textId="77777777">
      <w:pPr>
        <w:rPr>
          <w:rFonts w:eastAsia="MS Mincho"/>
          <w:b/>
          <w:sz w:val="28"/>
          <w:szCs w:val="28"/>
        </w:rPr>
      </w:pPr>
    </w:p>
    <w:p w:rsidR="004B58B6" w:rsidRPr="004223EA" w:rsidP="004B58B6" w14:paraId="389FB38F"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61B8360F"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0D647F" w:rsidR="000D647F">
        <w:rPr>
          <w:sz w:val="28"/>
          <w:szCs w:val="28"/>
        </w:rPr>
        <w:t>0412365400555004482620103</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72FED7BB"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5A70B8F"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47332B5" w14:textId="77777777">
      <w:pPr>
        <w:ind w:firstLine="708"/>
        <w:jc w:val="both"/>
        <w:rPr>
          <w:rFonts w:eastAsia="MS Mincho"/>
          <w:sz w:val="28"/>
          <w:szCs w:val="28"/>
        </w:rPr>
      </w:pPr>
    </w:p>
    <w:p w:rsidR="004B58B6" w:rsidRPr="004223EA" w:rsidP="00702B19" w14:paraId="209968C8" w14:textId="5E8756A8">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702B1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702B19">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2B19"/>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B7557"/>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4D25"/>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